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市水利局202</w:t>
      </w:r>
      <w:r>
        <w:rPr>
          <w:rFonts w:hint="eastAsia" w:ascii="方正小标宋简体" w:hAnsi="方正小标宋简体" w:eastAsia="方正小标宋简体" w:cs="方正小标宋简体"/>
          <w:sz w:val="36"/>
          <w:szCs w:val="36"/>
          <w:lang w:val="en-US" w:eastAsia="zh-CN"/>
        </w:rPr>
        <w:t>2</w:t>
      </w:r>
      <w:r>
        <w:rPr>
          <w:rFonts w:hint="eastAsia" w:ascii="方正小标宋简体" w:hAnsi="方正小标宋简体" w:eastAsia="方正小标宋简体" w:cs="方正小标宋简体"/>
          <w:sz w:val="36"/>
          <w:szCs w:val="36"/>
        </w:rPr>
        <w:t>年政府信息公开工作年度报告</w:t>
      </w:r>
    </w:p>
    <w:p>
      <w:pPr>
        <w:bidi w:val="0"/>
        <w:jc w:val="center"/>
        <w:rPr>
          <w:rFonts w:hint="eastAsia" w:ascii="方正小标宋简体" w:hAnsi="方正小标宋简体" w:eastAsia="方正小标宋简体" w:cs="方正小标宋简体"/>
          <w:sz w:val="36"/>
          <w:szCs w:val="36"/>
        </w:rPr>
      </w:pP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ascii="仿宋_GB2312" w:hAnsi="宋体" w:eastAsia="仿宋_GB2312" w:cs="仿宋_GB2312"/>
          <w:i w:val="0"/>
          <w:iCs w:val="0"/>
          <w:caps w:val="0"/>
          <w:color w:val="000000"/>
          <w:spacing w:val="0"/>
          <w:kern w:val="0"/>
          <w:sz w:val="32"/>
          <w:szCs w:val="32"/>
          <w:shd w:val="clear" w:fill="FFFFFF"/>
          <w:lang w:val="en-US" w:eastAsia="zh-CN" w:bidi="ar"/>
        </w:rPr>
      </w:pPr>
      <w:r>
        <w:rPr>
          <w:rFonts w:ascii="仿宋_GB2312" w:hAnsi="宋体" w:eastAsia="仿宋_GB2312" w:cs="仿宋_GB2312"/>
          <w:i w:val="0"/>
          <w:iCs w:val="0"/>
          <w:caps w:val="0"/>
          <w:color w:val="000000"/>
          <w:spacing w:val="0"/>
          <w:kern w:val="0"/>
          <w:sz w:val="32"/>
          <w:szCs w:val="32"/>
          <w:shd w:val="clear" w:fill="FFFFFF"/>
          <w:lang w:val="en-US" w:eastAsia="zh-CN" w:bidi="ar"/>
        </w:rPr>
        <w:t>本报告依据</w:t>
      </w:r>
      <w:r>
        <w:rPr>
          <w:rFonts w:hint="eastAsia" w:ascii="仿宋_GB2312" w:hAnsi="宋体" w:eastAsia="仿宋_GB2312" w:cs="仿宋_GB2312"/>
          <w:i w:val="0"/>
          <w:iCs w:val="0"/>
          <w:caps w:val="0"/>
          <w:color w:val="000000"/>
          <w:spacing w:val="0"/>
          <w:kern w:val="0"/>
          <w:sz w:val="32"/>
          <w:szCs w:val="32"/>
          <w:shd w:val="clear" w:fill="FFFFFF"/>
          <w:lang w:val="en-US" w:eastAsia="zh-CN" w:bidi="ar"/>
        </w:rPr>
        <w:t>《中华人民共和国政府信息公开条例》、《国务院办公厅关于印发政府网站发展指引的通知》、国务院办公厅政府信息与政务公开办公室国办公开办函〔2021〕30号等文件要求编制而成。</w:t>
      </w:r>
      <w:r>
        <w:rPr>
          <w:rFonts w:ascii="仿宋_GB2312" w:hAnsi="宋体" w:eastAsia="仿宋_GB2312" w:cs="仿宋_GB2312"/>
          <w:i w:val="0"/>
          <w:iCs w:val="0"/>
          <w:caps w:val="0"/>
          <w:color w:val="000000"/>
          <w:spacing w:val="0"/>
          <w:kern w:val="0"/>
          <w:sz w:val="32"/>
          <w:szCs w:val="32"/>
          <w:lang w:val="en-US" w:eastAsia="zh-CN" w:bidi="ar"/>
        </w:rPr>
        <w:t>本年度报告中所列数据的统计期限自</w:t>
      </w:r>
      <w:r>
        <w:rPr>
          <w:rFonts w:hint="eastAsia" w:ascii="仿宋_GB2312" w:hAnsi="宋体" w:eastAsia="仿宋_GB2312" w:cs="仿宋_GB2312"/>
          <w:i w:val="0"/>
          <w:iCs w:val="0"/>
          <w:caps w:val="0"/>
          <w:color w:val="000000"/>
          <w:spacing w:val="0"/>
          <w:kern w:val="0"/>
          <w:sz w:val="32"/>
          <w:szCs w:val="32"/>
          <w:lang w:val="en-US" w:eastAsia="zh-CN" w:bidi="ar"/>
        </w:rPr>
        <w:t>2022年1月1日起至2022年12月31日止。</w:t>
      </w:r>
      <w:r>
        <w:rPr>
          <w:rFonts w:ascii="仿宋_GB2312" w:hAnsi="宋体" w:eastAsia="仿宋_GB2312" w:cs="仿宋_GB2312"/>
          <w:i w:val="0"/>
          <w:iCs w:val="0"/>
          <w:caps w:val="0"/>
          <w:color w:val="000000"/>
          <w:spacing w:val="0"/>
          <w:kern w:val="0"/>
          <w:sz w:val="32"/>
          <w:szCs w:val="32"/>
          <w:shd w:val="clear" w:fill="FFFFFF"/>
          <w:lang w:val="en-US" w:eastAsia="zh-CN" w:bidi="ar"/>
        </w:rPr>
        <w:t>本年度报告的电子版可以从</w:t>
      </w:r>
      <w:r>
        <w:rPr>
          <w:rFonts w:hint="eastAsia" w:ascii="仿宋_GB2312" w:hAnsi="宋体" w:eastAsia="仿宋_GB2312" w:cs="仿宋_GB2312"/>
          <w:i w:val="0"/>
          <w:iCs w:val="0"/>
          <w:caps w:val="0"/>
          <w:color w:val="000000"/>
          <w:spacing w:val="0"/>
          <w:kern w:val="0"/>
          <w:sz w:val="32"/>
          <w:szCs w:val="32"/>
          <w:shd w:val="clear" w:fill="FFFFFF"/>
          <w:lang w:val="en-US" w:eastAsia="zh-CN" w:bidi="ar"/>
        </w:rPr>
        <w:t>宜春市水利局政府信息公开平台</w:t>
      </w:r>
      <w:r>
        <w:rPr>
          <w:rFonts w:ascii="仿宋_GB2312" w:hAnsi="宋体" w:eastAsia="仿宋_GB2312" w:cs="仿宋_GB2312"/>
          <w:i w:val="0"/>
          <w:iCs w:val="0"/>
          <w:caps w:val="0"/>
          <w:color w:val="000000"/>
          <w:spacing w:val="0"/>
          <w:kern w:val="0"/>
          <w:sz w:val="32"/>
          <w:szCs w:val="32"/>
          <w:shd w:val="clear" w:fill="FFFFFF"/>
          <w:lang w:val="en-US" w:eastAsia="zh-CN" w:bidi="ar"/>
        </w:rPr>
        <w:t>下载。如对本报告有任何疑问，请与</w:t>
      </w:r>
      <w:r>
        <w:rPr>
          <w:rFonts w:hint="eastAsia" w:ascii="仿宋_GB2312" w:hAnsi="宋体" w:eastAsia="仿宋_GB2312" w:cs="仿宋_GB2312"/>
          <w:i w:val="0"/>
          <w:iCs w:val="0"/>
          <w:caps w:val="0"/>
          <w:color w:val="000000"/>
          <w:spacing w:val="0"/>
          <w:kern w:val="0"/>
          <w:sz w:val="32"/>
          <w:szCs w:val="32"/>
          <w:shd w:val="clear" w:fill="FFFFFF"/>
          <w:lang w:val="en-US" w:eastAsia="zh-CN" w:bidi="ar"/>
        </w:rPr>
        <w:t>宜春市水利局</w:t>
      </w:r>
      <w:r>
        <w:rPr>
          <w:rFonts w:ascii="仿宋_GB2312" w:hAnsi="宋体" w:eastAsia="仿宋_GB2312" w:cs="仿宋_GB2312"/>
          <w:i w:val="0"/>
          <w:iCs w:val="0"/>
          <w:caps w:val="0"/>
          <w:color w:val="000000"/>
          <w:spacing w:val="0"/>
          <w:kern w:val="0"/>
          <w:sz w:val="32"/>
          <w:szCs w:val="32"/>
          <w:shd w:val="clear" w:fill="FFFFFF"/>
          <w:lang w:val="en-US" w:eastAsia="zh-CN" w:bidi="ar"/>
        </w:rPr>
        <w:t>联系（地址：</w:t>
      </w:r>
      <w:r>
        <w:rPr>
          <w:rFonts w:hint="eastAsia" w:ascii="仿宋_GB2312" w:hAnsi="宋体" w:eastAsia="仿宋_GB2312" w:cs="仿宋_GB2312"/>
          <w:i w:val="0"/>
          <w:iCs w:val="0"/>
          <w:caps w:val="0"/>
          <w:color w:val="000000"/>
          <w:spacing w:val="0"/>
          <w:kern w:val="0"/>
          <w:sz w:val="32"/>
          <w:szCs w:val="32"/>
          <w:shd w:val="clear" w:fill="FFFFFF"/>
          <w:lang w:val="en-US" w:eastAsia="zh-CN" w:bidi="ar"/>
        </w:rPr>
        <w:t>宜春市宜阳大厦中座1748室</w:t>
      </w:r>
      <w:r>
        <w:rPr>
          <w:rFonts w:ascii="仿宋_GB2312" w:hAnsi="宋体" w:eastAsia="仿宋_GB2312" w:cs="仿宋_GB2312"/>
          <w:i w:val="0"/>
          <w:iCs w:val="0"/>
          <w:caps w:val="0"/>
          <w:color w:val="000000"/>
          <w:spacing w:val="0"/>
          <w:kern w:val="0"/>
          <w:sz w:val="32"/>
          <w:szCs w:val="32"/>
          <w:shd w:val="clear" w:fill="FFFFFF"/>
          <w:lang w:val="en-US" w:eastAsia="zh-CN" w:bidi="ar"/>
        </w:rPr>
        <w:t>，电话：0795-</w:t>
      </w:r>
      <w:r>
        <w:rPr>
          <w:rFonts w:hint="eastAsia" w:ascii="仿宋_GB2312" w:hAnsi="宋体" w:eastAsia="仿宋_GB2312" w:cs="仿宋_GB2312"/>
          <w:i w:val="0"/>
          <w:iCs w:val="0"/>
          <w:caps w:val="0"/>
          <w:color w:val="000000"/>
          <w:spacing w:val="0"/>
          <w:kern w:val="0"/>
          <w:sz w:val="32"/>
          <w:szCs w:val="32"/>
          <w:shd w:val="clear" w:fill="FFFFFF"/>
          <w:lang w:val="en-US" w:eastAsia="zh-CN" w:bidi="ar"/>
        </w:rPr>
        <w:t>3220297</w:t>
      </w:r>
      <w:r>
        <w:rPr>
          <w:rFonts w:ascii="仿宋_GB2312" w:hAnsi="宋体" w:eastAsia="仿宋_GB2312" w:cs="仿宋_GB2312"/>
          <w:i w:val="0"/>
          <w:iCs w:val="0"/>
          <w:caps w:val="0"/>
          <w:color w:val="000000"/>
          <w:spacing w:val="0"/>
          <w:kern w:val="0"/>
          <w:sz w:val="32"/>
          <w:szCs w:val="32"/>
          <w:shd w:val="clear"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CESI黑体-GB2312" w:hAnsi="CESI黑体-GB2312" w:eastAsia="CESI黑体-GB2312" w:cs="CESI黑体-GB2312"/>
          <w:i w:val="0"/>
          <w:iCs w:val="0"/>
          <w:caps w:val="0"/>
          <w:color w:val="000000"/>
          <w:spacing w:val="0"/>
          <w:kern w:val="0"/>
          <w:sz w:val="32"/>
          <w:szCs w:val="32"/>
          <w:shd w:val="clear" w:fill="FFFFFF"/>
          <w:lang w:val="en-US" w:eastAsia="zh-CN" w:bidi="ar"/>
        </w:rPr>
      </w:pPr>
      <w:r>
        <w:rPr>
          <w:rFonts w:hint="eastAsia" w:ascii="CESI黑体-GB2312" w:hAnsi="CESI黑体-GB2312" w:eastAsia="CESI黑体-GB2312" w:cs="CESI黑体-GB2312"/>
          <w:i w:val="0"/>
          <w:iCs w:val="0"/>
          <w:caps w:val="0"/>
          <w:color w:val="000000"/>
          <w:spacing w:val="0"/>
          <w:kern w:val="0"/>
          <w:sz w:val="32"/>
          <w:szCs w:val="32"/>
          <w:shd w:val="clear" w:fill="FFFFFF"/>
          <w:lang w:val="en-US" w:eastAsia="zh-CN" w:bidi="ar"/>
        </w:rPr>
        <w:t>一、总体情况</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cs="仿宋_GB2312"/>
          <w:i w:val="0"/>
          <w:iCs w:val="0"/>
          <w:caps w:val="0"/>
          <w:color w:val="000000"/>
          <w:spacing w:val="0"/>
          <w:kern w:val="0"/>
          <w:sz w:val="32"/>
          <w:szCs w:val="32"/>
          <w:shd w:val="clear" w:fill="FFFFFF"/>
          <w:lang w:val="en-US" w:eastAsia="zh-CN" w:bidi="ar"/>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2022年，市水利局认真贯彻落实《中华人民共和国政府信息公开条例》以及省、市有关政府信息公开文件精神，扎实做好政府信息公开工作，紧紧围绕我局中心工作及群众关注关切，坚决把政务公开作为一项重点工作来抓，切实加强组织领导，及时、规范公开本部门政务信息，全面推进政务公开标准化、规范化，进一步提高了政府治理能力，切实增强人民群众满意度、获得感，为促进经济持续健康发展和社会大局稳定发挥积极作用。</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ascii="楷体_GB2312" w:hAnsi="Microsoft YaHei" w:eastAsia="楷体_GB2312" w:cs="楷体_GB2312"/>
          <w:b w:val="0"/>
          <w:bCs w:val="0"/>
          <w:i w:val="0"/>
          <w:iCs w:val="0"/>
          <w:caps w:val="0"/>
          <w:color w:val="000000"/>
          <w:spacing w:val="0"/>
          <w:kern w:val="0"/>
          <w:sz w:val="32"/>
          <w:szCs w:val="32"/>
          <w:shd w:val="clear" w:fill="FFFFFF"/>
          <w:lang w:val="en-US" w:eastAsia="zh-CN" w:bidi="ar"/>
        </w:rPr>
      </w:pPr>
      <w:r>
        <w:rPr>
          <w:rFonts w:ascii="楷体_GB2312" w:hAnsi="Microsoft YaHei" w:eastAsia="楷体_GB2312" w:cs="楷体_GB2312"/>
          <w:b w:val="0"/>
          <w:bCs w:val="0"/>
          <w:i w:val="0"/>
          <w:iCs w:val="0"/>
          <w:caps w:val="0"/>
          <w:color w:val="000000"/>
          <w:spacing w:val="0"/>
          <w:kern w:val="0"/>
          <w:sz w:val="32"/>
          <w:szCs w:val="32"/>
          <w:shd w:val="clear" w:fill="FFFFFF"/>
          <w:lang w:val="en-US" w:eastAsia="zh-CN" w:bidi="ar"/>
        </w:rPr>
        <w:t>（一）主动公开政府信息情况</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cs="仿宋_GB2312"/>
          <w:i w:val="0"/>
          <w:iCs w:val="0"/>
          <w:caps w:val="0"/>
          <w:color w:val="000000"/>
          <w:spacing w:val="0"/>
          <w:kern w:val="0"/>
          <w:sz w:val="32"/>
          <w:szCs w:val="32"/>
          <w:shd w:val="clear" w:fill="FFFFFF"/>
          <w:lang w:val="en-US" w:eastAsia="zh-CN" w:bidi="ar"/>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我局高度重视政务公开标准化规范化工作，为保证工作顺利开展，由局主要领导牵头，明确分管负责人调度，具办人员落实，确保全面推进基层政务决策公开、执行公开、管理公开、服务公开、结果公开，推动基层政务公开全覆盖，切实保障人民群众的知情权、参与权、表达权、监督权。2022年，我局政府信息公开平台主动公开各类政务信息192条，其中政策解读10条，运用了文字、视频、新闻发布会、在线访谈等多种解读方式；人大建议答复8条、政协提案答复4条，主动积极做好民生保障政策等热点问题的回应；行政执法公示24条，有效加强了政府权力运行透明度；重点领域信息66条，及时向社会公布了河湖长制阶段性工作进展和完成情况。</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ascii="楷体_GB2312" w:hAnsi="Microsoft YaHei" w:eastAsia="楷体_GB2312" w:cs="楷体_GB2312"/>
          <w:b w:val="0"/>
          <w:bCs w:val="0"/>
          <w:i w:val="0"/>
          <w:iCs w:val="0"/>
          <w:caps w:val="0"/>
          <w:color w:val="000000"/>
          <w:spacing w:val="0"/>
          <w:kern w:val="0"/>
          <w:sz w:val="32"/>
          <w:szCs w:val="32"/>
          <w:shd w:val="clear" w:fill="FFFFFF"/>
          <w:lang w:val="en-US" w:eastAsia="zh-CN" w:bidi="ar"/>
        </w:rPr>
      </w:pPr>
      <w:r>
        <w:rPr>
          <w:rFonts w:ascii="楷体_GB2312" w:hAnsi="Microsoft YaHei" w:eastAsia="楷体_GB2312" w:cs="楷体_GB2312"/>
          <w:b w:val="0"/>
          <w:bCs w:val="0"/>
          <w:i w:val="0"/>
          <w:iCs w:val="0"/>
          <w:caps w:val="0"/>
          <w:color w:val="000000"/>
          <w:spacing w:val="0"/>
          <w:kern w:val="0"/>
          <w:sz w:val="32"/>
          <w:szCs w:val="32"/>
          <w:shd w:val="clear" w:fill="FFFFFF"/>
          <w:lang w:val="en-US" w:eastAsia="zh-CN" w:bidi="ar"/>
        </w:rPr>
        <w:t>（二）收到和处理依申请公开情况</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cs="仿宋_GB2312"/>
          <w:i w:val="0"/>
          <w:iCs w:val="0"/>
          <w:caps w:val="0"/>
          <w:color w:val="000000"/>
          <w:spacing w:val="0"/>
          <w:kern w:val="0"/>
          <w:sz w:val="32"/>
          <w:szCs w:val="32"/>
          <w:shd w:val="clear" w:fill="FFFFFF"/>
          <w:lang w:val="en-US" w:eastAsia="zh-CN" w:bidi="ar"/>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2022年我局共收到依申请公开信息1条，申请公开宜春恒大绿洲小区二次供水高层加压许可证。经审查本部门不掌握相关信息，及时告知了对方可能掌握该信息的部门。</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ascii="楷体_GB2312" w:hAnsi="Microsoft YaHei" w:eastAsia="楷体_GB2312" w:cs="楷体_GB2312"/>
          <w:b w:val="0"/>
          <w:bCs w:val="0"/>
          <w:i w:val="0"/>
          <w:iCs w:val="0"/>
          <w:caps w:val="0"/>
          <w:color w:val="000000"/>
          <w:spacing w:val="0"/>
          <w:kern w:val="0"/>
          <w:sz w:val="32"/>
          <w:szCs w:val="32"/>
          <w:shd w:val="clear" w:fill="FFFFFF"/>
          <w:lang w:val="en-US" w:eastAsia="zh-CN" w:bidi="ar"/>
        </w:rPr>
      </w:pPr>
      <w:r>
        <w:rPr>
          <w:rFonts w:ascii="楷体_GB2312" w:hAnsi="Microsoft YaHei" w:eastAsia="楷体_GB2312" w:cs="楷体_GB2312"/>
          <w:b w:val="0"/>
          <w:bCs w:val="0"/>
          <w:i w:val="0"/>
          <w:iCs w:val="0"/>
          <w:caps w:val="0"/>
          <w:color w:val="000000"/>
          <w:spacing w:val="0"/>
          <w:kern w:val="0"/>
          <w:sz w:val="32"/>
          <w:szCs w:val="32"/>
          <w:shd w:val="clear" w:fill="FFFFFF"/>
          <w:lang w:val="en-US" w:eastAsia="zh-CN" w:bidi="ar"/>
        </w:rPr>
        <w:t>（三）政府信息管理情况</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cs="仿宋_GB2312"/>
          <w:i w:val="0"/>
          <w:iCs w:val="0"/>
          <w:caps w:val="0"/>
          <w:color w:val="000000"/>
          <w:spacing w:val="0"/>
          <w:kern w:val="0"/>
          <w:sz w:val="32"/>
          <w:szCs w:val="32"/>
          <w:shd w:val="clear" w:fill="FFFFFF"/>
          <w:lang w:val="en-US" w:eastAsia="zh-CN" w:bidi="ar"/>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一是加强组织领导。明确政务公开的内容、形式和制度，由局主要领导亲自抓，分管负责人具体抓，具办人员落实。要求各科室协调配合，及时提供相关信息，形成“一级抓一级，层层抓落实”的工作格局。</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cs="仿宋_GB2312"/>
          <w:i w:val="0"/>
          <w:iCs w:val="0"/>
          <w:caps w:val="0"/>
          <w:color w:val="000000"/>
          <w:spacing w:val="0"/>
          <w:kern w:val="0"/>
          <w:sz w:val="32"/>
          <w:szCs w:val="32"/>
          <w:shd w:val="clear" w:fill="FFFFFF"/>
          <w:lang w:val="en-US" w:eastAsia="zh-CN" w:bidi="ar"/>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二是严格把关审查。对拟公开的信息先审后发，严把政治关、法律关、政策关、保密关、文字关，确保信息发布的权威性、安全性和公信力，坚决杜绝信息更新不及时、发布存在严重表述错误等问题的发生。</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cs="仿宋_GB2312"/>
          <w:i w:val="0"/>
          <w:iCs w:val="0"/>
          <w:caps w:val="0"/>
          <w:color w:val="000000"/>
          <w:spacing w:val="0"/>
          <w:kern w:val="0"/>
          <w:sz w:val="32"/>
          <w:szCs w:val="32"/>
          <w:shd w:val="clear" w:fill="FFFFFF"/>
          <w:lang w:val="en-US" w:eastAsia="zh-CN" w:bidi="ar"/>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三是紧盯重点领域。及时发布更新政策文件解读、重大决策公开、民生热点问题回应等重点领域内容，确保政府权力运行公开透明。</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ascii="楷体_GB2312" w:hAnsi="Microsoft YaHei" w:eastAsia="楷体_GB2312" w:cs="楷体_GB2312"/>
          <w:b w:val="0"/>
          <w:bCs w:val="0"/>
          <w:i w:val="0"/>
          <w:iCs w:val="0"/>
          <w:caps w:val="0"/>
          <w:color w:val="000000"/>
          <w:spacing w:val="0"/>
          <w:kern w:val="0"/>
          <w:sz w:val="32"/>
          <w:szCs w:val="32"/>
          <w:shd w:val="clear" w:fill="FFFFFF"/>
          <w:lang w:val="en-US" w:eastAsia="zh-CN" w:bidi="ar"/>
        </w:rPr>
      </w:pPr>
      <w:r>
        <w:rPr>
          <w:rFonts w:ascii="楷体_GB2312" w:hAnsi="Microsoft YaHei" w:eastAsia="楷体_GB2312" w:cs="楷体_GB2312"/>
          <w:b w:val="0"/>
          <w:bCs w:val="0"/>
          <w:i w:val="0"/>
          <w:iCs w:val="0"/>
          <w:caps w:val="0"/>
          <w:color w:val="000000"/>
          <w:spacing w:val="0"/>
          <w:kern w:val="0"/>
          <w:sz w:val="32"/>
          <w:szCs w:val="32"/>
          <w:shd w:val="clear" w:fill="FFFFFF"/>
          <w:lang w:val="en-US" w:eastAsia="zh-CN" w:bidi="ar"/>
        </w:rPr>
        <w:t>（四）</w:t>
      </w:r>
      <w:r>
        <w:rPr>
          <w:rFonts w:hint="eastAsia" w:ascii="楷体_GB2312" w:hAnsi="Microsoft YaHei" w:eastAsia="楷体_GB2312" w:cs="楷体_GB2312"/>
          <w:b w:val="0"/>
          <w:bCs w:val="0"/>
          <w:i w:val="0"/>
          <w:iCs w:val="0"/>
          <w:caps w:val="0"/>
          <w:color w:val="000000"/>
          <w:spacing w:val="0"/>
          <w:kern w:val="0"/>
          <w:sz w:val="32"/>
          <w:szCs w:val="32"/>
          <w:shd w:val="clear" w:fill="FFFFFF"/>
          <w:lang w:val="en-US" w:eastAsia="zh-CN" w:bidi="ar"/>
        </w:rPr>
        <w:t>政府信息公开</w:t>
      </w:r>
      <w:r>
        <w:rPr>
          <w:rFonts w:ascii="楷体_GB2312" w:hAnsi="Microsoft YaHei" w:eastAsia="楷体_GB2312" w:cs="楷体_GB2312"/>
          <w:b w:val="0"/>
          <w:bCs w:val="0"/>
          <w:i w:val="0"/>
          <w:iCs w:val="0"/>
          <w:caps w:val="0"/>
          <w:color w:val="000000"/>
          <w:spacing w:val="0"/>
          <w:kern w:val="0"/>
          <w:sz w:val="32"/>
          <w:szCs w:val="32"/>
          <w:shd w:val="clear" w:fill="FFFFFF"/>
          <w:lang w:val="en-US" w:eastAsia="zh-CN" w:bidi="ar"/>
        </w:rPr>
        <w:t>平台建设情况</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cs="仿宋_GB2312"/>
          <w:i w:val="0"/>
          <w:iCs w:val="0"/>
          <w:caps w:val="0"/>
          <w:color w:val="000000"/>
          <w:spacing w:val="0"/>
          <w:kern w:val="0"/>
          <w:sz w:val="32"/>
          <w:szCs w:val="32"/>
          <w:shd w:val="clear" w:fill="FFFFFF"/>
          <w:lang w:val="en-US" w:eastAsia="zh-CN" w:bidi="ar"/>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依托市政府网站开展政府信息公开工作，更新完善公开制度、公开指南等内容，确保政务信息公开及时、准确、便民。</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ascii="楷体_GB2312" w:hAnsi="Microsoft YaHei" w:eastAsia="楷体_GB2312" w:cs="楷体_GB2312"/>
          <w:b w:val="0"/>
          <w:bCs w:val="0"/>
          <w:i w:val="0"/>
          <w:iCs w:val="0"/>
          <w:caps w:val="0"/>
          <w:color w:val="000000"/>
          <w:spacing w:val="0"/>
          <w:kern w:val="0"/>
          <w:sz w:val="32"/>
          <w:szCs w:val="32"/>
          <w:shd w:val="clear" w:fill="FFFFFF"/>
          <w:lang w:val="en-US" w:eastAsia="zh-CN" w:bidi="ar"/>
        </w:rPr>
      </w:pPr>
      <w:r>
        <w:rPr>
          <w:rFonts w:ascii="楷体_GB2312" w:hAnsi="Microsoft YaHei" w:eastAsia="楷体_GB2312" w:cs="楷体_GB2312"/>
          <w:b w:val="0"/>
          <w:bCs w:val="0"/>
          <w:i w:val="0"/>
          <w:iCs w:val="0"/>
          <w:caps w:val="0"/>
          <w:color w:val="000000"/>
          <w:spacing w:val="0"/>
          <w:kern w:val="0"/>
          <w:sz w:val="32"/>
          <w:szCs w:val="32"/>
          <w:shd w:val="clear" w:fill="FFFFFF"/>
          <w:lang w:val="en-US" w:eastAsia="zh-CN" w:bidi="ar"/>
        </w:rPr>
        <w:t>（五）监督保障情况</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cs="仿宋_GB2312"/>
          <w:i w:val="0"/>
          <w:iCs w:val="0"/>
          <w:caps w:val="0"/>
          <w:color w:val="000000"/>
          <w:spacing w:val="0"/>
          <w:kern w:val="0"/>
          <w:sz w:val="32"/>
          <w:szCs w:val="32"/>
          <w:shd w:val="clear" w:fill="FFFFFF"/>
          <w:lang w:val="en-US" w:eastAsia="zh-CN" w:bidi="ar"/>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一是领导重视。成立了政务信息公开工作领导小组，领导小组下设办公室于秘书科，负责统筹协调编制政府信息公开内容。二是压实责任。为确保工作落实，逐项将公开目录分解到各科室，确保信息发布及时、准确。三是强化考核。对各科室政务公开工作实行督查考核，紧盯目标任务，狠抓工作落实。</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CESI黑体-GB2312" w:hAnsi="CESI黑体-GB2312" w:eastAsia="CESI黑体-GB2312" w:cs="CESI黑体-GB2312"/>
          <w:i w:val="0"/>
          <w:iCs w:val="0"/>
          <w:caps w:val="0"/>
          <w:color w:val="000000"/>
          <w:spacing w:val="0"/>
          <w:kern w:val="0"/>
          <w:sz w:val="32"/>
          <w:szCs w:val="32"/>
          <w:shd w:val="clear" w:fill="FFFFFF"/>
          <w:lang w:val="en-US" w:eastAsia="zh-CN" w:bidi="ar"/>
        </w:rPr>
      </w:pPr>
      <w:r>
        <w:rPr>
          <w:rFonts w:hint="eastAsia" w:ascii="CESI黑体-GB2312" w:hAnsi="CESI黑体-GB2312" w:eastAsia="CESI黑体-GB2312" w:cs="CESI黑体-GB2312"/>
          <w:i w:val="0"/>
          <w:iCs w:val="0"/>
          <w:caps w:val="0"/>
          <w:color w:val="000000"/>
          <w:spacing w:val="0"/>
          <w:kern w:val="0"/>
          <w:sz w:val="32"/>
          <w:szCs w:val="32"/>
          <w:shd w:val="clear" w:fill="FFFFFF"/>
          <w:lang w:val="en-US" w:eastAsia="zh-CN" w:bidi="ar"/>
        </w:rPr>
        <w:t>二、主动公开政府信息情况</w:t>
      </w:r>
    </w:p>
    <w:tbl>
      <w:tblPr>
        <w:tblStyle w:val="4"/>
        <w:tblW w:w="878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58"/>
        <w:gridCol w:w="1880"/>
        <w:gridCol w:w="2270"/>
        <w:gridCol w:w="28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0" w:type="dxa"/>
            <w:gridSpan w:val="4"/>
            <w:tcBorders>
              <w:top w:val="single" w:color="000000" w:sz="8" w:space="0"/>
              <w:left w:val="single" w:color="000000" w:sz="8" w:space="0"/>
              <w:bottom w:val="single" w:color="000000" w:sz="8" w:space="0"/>
              <w:right w:val="single" w:color="000000" w:sz="8" w:space="0"/>
            </w:tcBorders>
            <w:shd w:val="clear" w:color="auto" w:fill="C6D9F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758" w:type="dxa"/>
            <w:vMerge w:val="restart"/>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信息内容</w:t>
            </w:r>
          </w:p>
        </w:tc>
        <w:tc>
          <w:tcPr>
            <w:tcW w:w="1880" w:type="dxa"/>
            <w:vMerge w:val="restar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本年制发件数</w:t>
            </w:r>
          </w:p>
        </w:tc>
        <w:tc>
          <w:tcPr>
            <w:tcW w:w="2270" w:type="dxa"/>
            <w:vMerge w:val="restar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本年废止件数</w:t>
            </w:r>
          </w:p>
        </w:tc>
        <w:tc>
          <w:tcPr>
            <w:tcW w:w="2872" w:type="dxa"/>
            <w:vMerge w:val="restart"/>
            <w:tcBorders>
              <w:top w:val="single" w:color="000000" w:sz="8" w:space="0"/>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758"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b/>
                <w:bCs/>
                <w:i w:val="0"/>
                <w:iCs w:val="0"/>
                <w:color w:val="333333"/>
                <w:sz w:val="18"/>
                <w:szCs w:val="18"/>
                <w:u w:val="none"/>
              </w:rPr>
            </w:pPr>
          </w:p>
        </w:tc>
        <w:tc>
          <w:tcPr>
            <w:tcW w:w="1880" w:type="dxa"/>
            <w:vMerge w:val="continue"/>
            <w:tcBorders>
              <w:top w:val="nil"/>
              <w:left w:val="nil"/>
              <w:bottom w:val="single" w:color="000000" w:sz="8" w:space="0"/>
              <w:right w:val="single" w:color="000000" w:sz="8" w:space="0"/>
            </w:tcBorders>
            <w:shd w:val="clear" w:color="auto" w:fill="E6F4FF"/>
            <w:vAlign w:val="center"/>
          </w:tcPr>
          <w:p>
            <w:pPr>
              <w:jc w:val="center"/>
              <w:rPr>
                <w:rFonts w:hint="eastAsia" w:ascii="宋体" w:hAnsi="宋体" w:eastAsia="宋体" w:cs="宋体"/>
                <w:b/>
                <w:bCs/>
                <w:i w:val="0"/>
                <w:iCs w:val="0"/>
                <w:color w:val="333333"/>
                <w:sz w:val="18"/>
                <w:szCs w:val="18"/>
                <w:u w:val="none"/>
              </w:rPr>
            </w:pPr>
          </w:p>
        </w:tc>
        <w:tc>
          <w:tcPr>
            <w:tcW w:w="2270" w:type="dxa"/>
            <w:vMerge w:val="continue"/>
            <w:tcBorders>
              <w:top w:val="nil"/>
              <w:left w:val="nil"/>
              <w:bottom w:val="single" w:color="000000" w:sz="8" w:space="0"/>
              <w:right w:val="single" w:color="000000" w:sz="8" w:space="0"/>
            </w:tcBorders>
            <w:shd w:val="clear" w:color="auto" w:fill="E6F4FF"/>
            <w:vAlign w:val="center"/>
          </w:tcPr>
          <w:p>
            <w:pPr>
              <w:jc w:val="center"/>
              <w:rPr>
                <w:rFonts w:hint="eastAsia" w:ascii="宋体" w:hAnsi="宋体" w:eastAsia="宋体" w:cs="宋体"/>
                <w:b/>
                <w:bCs/>
                <w:i w:val="0"/>
                <w:iCs w:val="0"/>
                <w:color w:val="333333"/>
                <w:sz w:val="18"/>
                <w:szCs w:val="18"/>
                <w:u w:val="none"/>
              </w:rPr>
            </w:pPr>
          </w:p>
        </w:tc>
        <w:tc>
          <w:tcPr>
            <w:tcW w:w="2872" w:type="dxa"/>
            <w:vMerge w:val="continue"/>
            <w:tcBorders>
              <w:top w:val="single" w:color="000000" w:sz="8" w:space="0"/>
              <w:left w:val="nil"/>
              <w:bottom w:val="single" w:color="000000" w:sz="8" w:space="0"/>
              <w:right w:val="single" w:color="000000" w:sz="8" w:space="0"/>
            </w:tcBorders>
            <w:shd w:val="clear" w:color="auto" w:fill="E6F4FF"/>
            <w:vAlign w:val="center"/>
          </w:tcPr>
          <w:p>
            <w:pPr>
              <w:jc w:val="center"/>
              <w:rPr>
                <w:rFonts w:hint="eastAsia" w:ascii="宋体" w:hAnsi="宋体" w:eastAsia="宋体" w:cs="宋体"/>
                <w:b/>
                <w:bCs/>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1758" w:type="dxa"/>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规章</w:t>
            </w:r>
          </w:p>
        </w:tc>
        <w:tc>
          <w:tcPr>
            <w:tcW w:w="18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227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2872"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1758" w:type="dxa"/>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规范性文件</w:t>
            </w:r>
          </w:p>
        </w:tc>
        <w:tc>
          <w:tcPr>
            <w:tcW w:w="18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227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2872"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8780" w:type="dxa"/>
            <w:gridSpan w:val="4"/>
            <w:tcBorders>
              <w:top w:val="nil"/>
              <w:left w:val="single" w:color="000000" w:sz="8" w:space="0"/>
              <w:bottom w:val="single" w:color="000000" w:sz="8" w:space="0"/>
              <w:right w:val="single" w:color="000000" w:sz="8" w:space="0"/>
            </w:tcBorders>
            <w:shd w:val="clear" w:color="auto" w:fill="C6D9F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1758" w:type="dxa"/>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信息内容</w:t>
            </w:r>
          </w:p>
        </w:tc>
        <w:tc>
          <w:tcPr>
            <w:tcW w:w="7022" w:type="dxa"/>
            <w:gridSpan w:val="3"/>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1758" w:type="dxa"/>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行政许可</w:t>
            </w:r>
          </w:p>
        </w:tc>
        <w:tc>
          <w:tcPr>
            <w:tcW w:w="7022" w:type="dxa"/>
            <w:gridSpan w:val="3"/>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333333"/>
                <w:sz w:val="21"/>
                <w:szCs w:val="21"/>
                <w:u w:val="none"/>
                <w:lang w:val="en-US"/>
              </w:rPr>
            </w:pPr>
            <w:r>
              <w:rPr>
                <w:rFonts w:hint="eastAsia" w:ascii="微软雅黑" w:hAnsi="微软雅黑" w:eastAsia="微软雅黑" w:cs="微软雅黑"/>
                <w:i w:val="0"/>
                <w:iCs w:val="0"/>
                <w:color w:val="333333"/>
                <w:kern w:val="0"/>
                <w:sz w:val="21"/>
                <w:szCs w:val="21"/>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8780" w:type="dxa"/>
            <w:gridSpan w:val="4"/>
            <w:tcBorders>
              <w:top w:val="nil"/>
              <w:left w:val="single" w:color="000000" w:sz="8" w:space="0"/>
              <w:bottom w:val="single" w:color="000000" w:sz="8" w:space="0"/>
              <w:right w:val="single" w:color="000000" w:sz="8" w:space="0"/>
            </w:tcBorders>
            <w:shd w:val="clear" w:color="auto" w:fill="C6D9F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1758" w:type="dxa"/>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信息内容</w:t>
            </w:r>
          </w:p>
        </w:tc>
        <w:tc>
          <w:tcPr>
            <w:tcW w:w="7022" w:type="dxa"/>
            <w:gridSpan w:val="3"/>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trPr>
        <w:tc>
          <w:tcPr>
            <w:tcW w:w="1758" w:type="dxa"/>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行政处罚</w:t>
            </w:r>
          </w:p>
        </w:tc>
        <w:tc>
          <w:tcPr>
            <w:tcW w:w="7022" w:type="dxa"/>
            <w:gridSpan w:val="3"/>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trPr>
        <w:tc>
          <w:tcPr>
            <w:tcW w:w="1758" w:type="dxa"/>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行政强制</w:t>
            </w:r>
          </w:p>
        </w:tc>
        <w:tc>
          <w:tcPr>
            <w:tcW w:w="7022" w:type="dxa"/>
            <w:gridSpan w:val="3"/>
            <w:tcBorders>
              <w:top w:val="nil"/>
              <w:left w:val="nil"/>
              <w:bottom w:val="single" w:color="000000" w:sz="8" w:space="0"/>
              <w:right w:val="single" w:color="000000" w:sz="8" w:space="0"/>
            </w:tcBorders>
            <w:shd w:val="clear" w:color="auto" w:fill="DAEEF3"/>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3" w:hRule="atLeast"/>
        </w:trPr>
        <w:tc>
          <w:tcPr>
            <w:tcW w:w="8780" w:type="dxa"/>
            <w:gridSpan w:val="4"/>
            <w:tcBorders>
              <w:top w:val="nil"/>
              <w:left w:val="single" w:color="000000" w:sz="8" w:space="0"/>
              <w:bottom w:val="single" w:color="000000" w:sz="8" w:space="0"/>
              <w:right w:val="single" w:color="000000" w:sz="8" w:space="0"/>
            </w:tcBorders>
            <w:shd w:val="clear" w:color="auto" w:fill="C6D9F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758" w:type="dxa"/>
            <w:tcBorders>
              <w:top w:val="nil"/>
              <w:left w:val="single" w:color="000000" w:sz="8" w:space="0"/>
              <w:bottom w:val="single" w:color="000000" w:sz="8" w:space="0"/>
              <w:right w:val="nil"/>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信息内容</w:t>
            </w:r>
          </w:p>
        </w:tc>
        <w:tc>
          <w:tcPr>
            <w:tcW w:w="7022" w:type="dxa"/>
            <w:gridSpan w:val="3"/>
            <w:tcBorders>
              <w:top w:val="single" w:color="000000" w:sz="8" w:space="0"/>
              <w:left w:val="single" w:color="000000" w:sz="8" w:space="0"/>
              <w:bottom w:val="single" w:color="000000" w:sz="8" w:space="0"/>
              <w:right w:val="single" w:color="000000" w:sz="4"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7" w:hRule="atLeast"/>
        </w:trPr>
        <w:tc>
          <w:tcPr>
            <w:tcW w:w="1758" w:type="dxa"/>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行政事业性收费</w:t>
            </w:r>
          </w:p>
        </w:tc>
        <w:tc>
          <w:tcPr>
            <w:tcW w:w="7022" w:type="dxa"/>
            <w:gridSpan w:val="3"/>
            <w:tcBorders>
              <w:top w:val="nil"/>
              <w:left w:val="nil"/>
              <w:bottom w:val="single" w:color="000000" w:sz="8" w:space="0"/>
              <w:right w:val="single" w:color="000000" w:sz="8" w:space="0"/>
            </w:tcBorders>
            <w:shd w:val="clear" w:color="auto" w:fill="DAEEF3"/>
            <w:vAlign w:val="center"/>
          </w:tcPr>
          <w:p>
            <w:pPr>
              <w:jc w:val="center"/>
              <w:rPr>
                <w:rFonts w:hint="default"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487.85</w:t>
            </w:r>
          </w:p>
        </w:tc>
      </w:tr>
    </w:tbl>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CESI黑体-GB2312" w:hAnsi="CESI黑体-GB2312" w:eastAsia="CESI黑体-GB2312" w:cs="CESI黑体-GB2312"/>
          <w:i w:val="0"/>
          <w:iCs w:val="0"/>
          <w:caps w:val="0"/>
          <w:color w:val="000000"/>
          <w:spacing w:val="0"/>
          <w:kern w:val="0"/>
          <w:sz w:val="32"/>
          <w:szCs w:val="32"/>
          <w:shd w:val="clear" w:fill="FFFFFF"/>
          <w:lang w:val="en-US" w:eastAsia="zh-CN" w:bidi="ar"/>
        </w:rPr>
      </w:pPr>
      <w:r>
        <w:rPr>
          <w:rFonts w:hint="eastAsia" w:ascii="CESI黑体-GB2312" w:hAnsi="CESI黑体-GB2312" w:eastAsia="CESI黑体-GB2312" w:cs="CESI黑体-GB2312"/>
          <w:i w:val="0"/>
          <w:iCs w:val="0"/>
          <w:caps w:val="0"/>
          <w:color w:val="000000"/>
          <w:spacing w:val="0"/>
          <w:kern w:val="0"/>
          <w:sz w:val="32"/>
          <w:szCs w:val="32"/>
          <w:shd w:val="clear" w:fill="FFFFFF"/>
          <w:lang w:val="en-US" w:eastAsia="zh-CN" w:bidi="ar"/>
        </w:rPr>
        <w:t>三、收到和处理政府信息公开申请情况</w:t>
      </w:r>
    </w:p>
    <w:tbl>
      <w:tblPr>
        <w:tblStyle w:val="4"/>
        <w:tblW w:w="939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86"/>
        <w:gridCol w:w="1157"/>
        <w:gridCol w:w="1736"/>
        <w:gridCol w:w="763"/>
        <w:gridCol w:w="753"/>
        <w:gridCol w:w="785"/>
        <w:gridCol w:w="916"/>
        <w:gridCol w:w="928"/>
        <w:gridCol w:w="788"/>
        <w:gridCol w:w="7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679" w:type="dxa"/>
            <w:gridSpan w:val="3"/>
            <w:vMerge w:val="restart"/>
            <w:tcBorders>
              <w:top w:val="single" w:color="000000" w:sz="8" w:space="0"/>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（本列数据的勾稽关系为：第一项加第二项之和，等于第三项加第四项之和）</w:t>
            </w:r>
          </w:p>
        </w:tc>
        <w:tc>
          <w:tcPr>
            <w:tcW w:w="5720" w:type="dxa"/>
            <w:gridSpan w:val="7"/>
            <w:tcBorders>
              <w:top w:val="single" w:color="000000" w:sz="8" w:space="0"/>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2" w:hRule="atLeast"/>
        </w:trPr>
        <w:tc>
          <w:tcPr>
            <w:tcW w:w="3679" w:type="dxa"/>
            <w:gridSpan w:val="3"/>
            <w:vMerge w:val="continue"/>
            <w:tcBorders>
              <w:top w:val="single" w:color="000000" w:sz="8" w:space="0"/>
              <w:left w:val="single" w:color="000000" w:sz="8" w:space="0"/>
              <w:bottom w:val="single" w:color="000000" w:sz="8" w:space="0"/>
              <w:right w:val="single" w:color="000000" w:sz="8" w:space="0"/>
            </w:tcBorders>
            <w:shd w:val="clear" w:color="auto" w:fill="E6F4FF"/>
            <w:vAlign w:val="center"/>
          </w:tcPr>
          <w:p>
            <w:pPr>
              <w:rPr>
                <w:rFonts w:hint="eastAsia" w:ascii="宋体" w:hAnsi="宋体" w:eastAsia="宋体" w:cs="宋体"/>
                <w:i w:val="0"/>
                <w:iCs w:val="0"/>
                <w:color w:val="333333"/>
                <w:sz w:val="18"/>
                <w:szCs w:val="18"/>
                <w:u w:val="none"/>
              </w:rPr>
            </w:pPr>
          </w:p>
        </w:tc>
        <w:tc>
          <w:tcPr>
            <w:tcW w:w="763" w:type="dxa"/>
            <w:vMerge w:val="restar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自然人</w:t>
            </w:r>
          </w:p>
        </w:tc>
        <w:tc>
          <w:tcPr>
            <w:tcW w:w="4170" w:type="dxa"/>
            <w:gridSpan w:val="5"/>
            <w:tcBorders>
              <w:top w:val="single" w:color="000000" w:sz="8" w:space="0"/>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法人或其他组织</w:t>
            </w:r>
          </w:p>
        </w:tc>
        <w:tc>
          <w:tcPr>
            <w:tcW w:w="787" w:type="dxa"/>
            <w:vMerge w:val="restar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3679" w:type="dxa"/>
            <w:gridSpan w:val="3"/>
            <w:vMerge w:val="continue"/>
            <w:tcBorders>
              <w:top w:val="single" w:color="000000" w:sz="8" w:space="0"/>
              <w:left w:val="single" w:color="000000" w:sz="8" w:space="0"/>
              <w:bottom w:val="single" w:color="000000" w:sz="8" w:space="0"/>
              <w:right w:val="single" w:color="000000" w:sz="8" w:space="0"/>
            </w:tcBorders>
            <w:shd w:val="clear" w:color="auto" w:fill="E6F4FF"/>
            <w:vAlign w:val="center"/>
          </w:tcPr>
          <w:p>
            <w:pPr>
              <w:rPr>
                <w:rFonts w:hint="eastAsia" w:ascii="宋体" w:hAnsi="宋体" w:eastAsia="宋体" w:cs="宋体"/>
                <w:i w:val="0"/>
                <w:iCs w:val="0"/>
                <w:color w:val="333333"/>
                <w:sz w:val="18"/>
                <w:szCs w:val="18"/>
                <w:u w:val="none"/>
              </w:rPr>
            </w:pPr>
          </w:p>
        </w:tc>
        <w:tc>
          <w:tcPr>
            <w:tcW w:w="763" w:type="dxa"/>
            <w:vMerge w:val="continue"/>
            <w:tcBorders>
              <w:top w:val="nil"/>
              <w:left w:val="nil"/>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75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商业企业</w:t>
            </w:r>
          </w:p>
        </w:tc>
        <w:tc>
          <w:tcPr>
            <w:tcW w:w="78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科研机构</w:t>
            </w:r>
          </w:p>
        </w:tc>
        <w:tc>
          <w:tcPr>
            <w:tcW w:w="916"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社会公益组织</w:t>
            </w:r>
          </w:p>
        </w:tc>
        <w:tc>
          <w:tcPr>
            <w:tcW w:w="92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法律服务机构</w:t>
            </w:r>
          </w:p>
        </w:tc>
        <w:tc>
          <w:tcPr>
            <w:tcW w:w="78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其他</w:t>
            </w:r>
          </w:p>
        </w:tc>
        <w:tc>
          <w:tcPr>
            <w:tcW w:w="787" w:type="dxa"/>
            <w:vMerge w:val="continue"/>
            <w:tcBorders>
              <w:top w:val="nil"/>
              <w:left w:val="nil"/>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3679" w:type="dxa"/>
            <w:gridSpan w:val="3"/>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一、本年新收政府信息公开申请数量</w:t>
            </w:r>
          </w:p>
        </w:tc>
        <w:tc>
          <w:tcPr>
            <w:tcW w:w="76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1</w:t>
            </w:r>
          </w:p>
        </w:tc>
        <w:tc>
          <w:tcPr>
            <w:tcW w:w="75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916"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92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7"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3679" w:type="dxa"/>
            <w:gridSpan w:val="3"/>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二、上年结转政府信息公开申请数量</w:t>
            </w:r>
          </w:p>
        </w:tc>
        <w:tc>
          <w:tcPr>
            <w:tcW w:w="76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916"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92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7"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786" w:type="dxa"/>
            <w:vMerge w:val="restart"/>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三、本年度办理结果</w:t>
            </w:r>
          </w:p>
        </w:tc>
        <w:tc>
          <w:tcPr>
            <w:tcW w:w="2893" w:type="dxa"/>
            <w:gridSpan w:val="2"/>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（一）予以公开</w:t>
            </w:r>
          </w:p>
        </w:tc>
        <w:tc>
          <w:tcPr>
            <w:tcW w:w="76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916"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92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7"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5" w:hRule="atLeast"/>
        </w:trPr>
        <w:tc>
          <w:tcPr>
            <w:tcW w:w="786"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2893" w:type="dxa"/>
            <w:gridSpan w:val="2"/>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（二）部分公开（区分处理的，只计这一情形，不计其他情形）</w:t>
            </w:r>
          </w:p>
        </w:tc>
        <w:tc>
          <w:tcPr>
            <w:tcW w:w="76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916"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92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7"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786"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157" w:type="dxa"/>
            <w:vMerge w:val="restar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（三）不予公开</w:t>
            </w:r>
          </w:p>
        </w:tc>
        <w:tc>
          <w:tcPr>
            <w:tcW w:w="1736"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1.属于国家秘密</w:t>
            </w:r>
          </w:p>
        </w:tc>
        <w:tc>
          <w:tcPr>
            <w:tcW w:w="76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916"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92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7"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786"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157"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736"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2.其他法律行政法规禁止公开</w:t>
            </w:r>
          </w:p>
        </w:tc>
        <w:tc>
          <w:tcPr>
            <w:tcW w:w="76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916"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92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7"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786"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157"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736"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3.危及“三安全一稳定”</w:t>
            </w:r>
          </w:p>
        </w:tc>
        <w:tc>
          <w:tcPr>
            <w:tcW w:w="76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916"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92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7"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786"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157"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736"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4.保护第三方合法权益</w:t>
            </w:r>
          </w:p>
        </w:tc>
        <w:tc>
          <w:tcPr>
            <w:tcW w:w="76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916"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92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7"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786"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157"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736"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5.属于三类内部事务信息</w:t>
            </w:r>
          </w:p>
        </w:tc>
        <w:tc>
          <w:tcPr>
            <w:tcW w:w="76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916"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92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7"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786"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157"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736"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6.属于四类过程性信息</w:t>
            </w:r>
          </w:p>
        </w:tc>
        <w:tc>
          <w:tcPr>
            <w:tcW w:w="76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916"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92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7"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786"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157"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736"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7.属于行政执法案卷</w:t>
            </w:r>
          </w:p>
        </w:tc>
        <w:tc>
          <w:tcPr>
            <w:tcW w:w="76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916"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92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7"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786"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157"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736"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8.属于行政查询事项</w:t>
            </w:r>
          </w:p>
        </w:tc>
        <w:tc>
          <w:tcPr>
            <w:tcW w:w="76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916"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92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7"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786"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157" w:type="dxa"/>
            <w:vMerge w:val="restar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（四）无法提供</w:t>
            </w:r>
          </w:p>
        </w:tc>
        <w:tc>
          <w:tcPr>
            <w:tcW w:w="1736"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1.本机关不掌握相关政府信息</w:t>
            </w:r>
          </w:p>
        </w:tc>
        <w:tc>
          <w:tcPr>
            <w:tcW w:w="76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1</w:t>
            </w:r>
          </w:p>
        </w:tc>
        <w:tc>
          <w:tcPr>
            <w:tcW w:w="75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916"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92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7"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786"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157"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736"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2.没有现成信息需要另行制作</w:t>
            </w:r>
          </w:p>
        </w:tc>
        <w:tc>
          <w:tcPr>
            <w:tcW w:w="76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916"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92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7"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786"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157"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736"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3.补正后申请内容仍不明确</w:t>
            </w:r>
          </w:p>
        </w:tc>
        <w:tc>
          <w:tcPr>
            <w:tcW w:w="76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916"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92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7"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786"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157" w:type="dxa"/>
            <w:vMerge w:val="restar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（五）不予处理</w:t>
            </w:r>
          </w:p>
        </w:tc>
        <w:tc>
          <w:tcPr>
            <w:tcW w:w="1736"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1.信访举报投诉类申请</w:t>
            </w:r>
          </w:p>
        </w:tc>
        <w:tc>
          <w:tcPr>
            <w:tcW w:w="76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916"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92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7"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786"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157"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736"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2.重复申请</w:t>
            </w:r>
          </w:p>
        </w:tc>
        <w:tc>
          <w:tcPr>
            <w:tcW w:w="76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916"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92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7"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786"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157"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736"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3.要求提供公开出版物</w:t>
            </w:r>
          </w:p>
        </w:tc>
        <w:tc>
          <w:tcPr>
            <w:tcW w:w="76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916"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92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7"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786"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157"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736"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4.无正当理由大量反复申请</w:t>
            </w:r>
          </w:p>
        </w:tc>
        <w:tc>
          <w:tcPr>
            <w:tcW w:w="76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916"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92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7"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86"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157"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736"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5.要求行政机关确认或重新出具已获取信息</w:t>
            </w:r>
          </w:p>
        </w:tc>
        <w:tc>
          <w:tcPr>
            <w:tcW w:w="76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916"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92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7"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6" w:hRule="atLeast"/>
        </w:trPr>
        <w:tc>
          <w:tcPr>
            <w:tcW w:w="786"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157" w:type="dxa"/>
            <w:vMerge w:val="restar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（六）其他处理</w:t>
            </w:r>
          </w:p>
        </w:tc>
        <w:tc>
          <w:tcPr>
            <w:tcW w:w="1736"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1.申请人无正当理由逾期不补正、行政机关不再处理其政府信息公开申请</w:t>
            </w:r>
          </w:p>
        </w:tc>
        <w:tc>
          <w:tcPr>
            <w:tcW w:w="76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916"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92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7"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3" w:hRule="atLeast"/>
        </w:trPr>
        <w:tc>
          <w:tcPr>
            <w:tcW w:w="786"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157" w:type="dxa"/>
            <w:vMerge w:val="continue"/>
            <w:tcBorders>
              <w:top w:val="nil"/>
              <w:left w:val="nil"/>
              <w:bottom w:val="single" w:color="000000" w:sz="8" w:space="0"/>
              <w:right w:val="single" w:color="000000" w:sz="8" w:space="0"/>
            </w:tcBorders>
            <w:shd w:val="clear" w:color="auto" w:fill="E6F4FF"/>
            <w:vAlign w:val="center"/>
          </w:tcPr>
          <w:p>
            <w:pPr>
              <w:jc w:val="center"/>
              <w:rPr>
                <w:rFonts w:hint="eastAsia" w:ascii="楷体" w:hAnsi="楷体" w:eastAsia="楷体" w:cs="楷体"/>
                <w:i w:val="0"/>
                <w:iCs w:val="0"/>
                <w:color w:val="333333"/>
                <w:sz w:val="19"/>
                <w:szCs w:val="19"/>
                <w:u w:val="none"/>
              </w:rPr>
            </w:pPr>
          </w:p>
        </w:tc>
        <w:tc>
          <w:tcPr>
            <w:tcW w:w="1736"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2.申请人逾期未按收费通知要求缴纳费用、行政机关不再处理其政府信息公开申请</w:t>
            </w:r>
          </w:p>
        </w:tc>
        <w:tc>
          <w:tcPr>
            <w:tcW w:w="76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916"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92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7"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786"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2893" w:type="dxa"/>
            <w:gridSpan w:val="2"/>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（七）总计</w:t>
            </w:r>
          </w:p>
        </w:tc>
        <w:tc>
          <w:tcPr>
            <w:tcW w:w="76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1</w:t>
            </w:r>
          </w:p>
        </w:tc>
        <w:tc>
          <w:tcPr>
            <w:tcW w:w="75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916"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92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7"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333333"/>
                <w:sz w:val="21"/>
                <w:szCs w:val="21"/>
                <w:u w:val="none"/>
                <w:lang w:val="en-US"/>
              </w:rPr>
            </w:pPr>
            <w:r>
              <w:rPr>
                <w:rFonts w:hint="eastAsia" w:ascii="微软雅黑" w:hAnsi="微软雅黑" w:eastAsia="微软雅黑" w:cs="微软雅黑"/>
                <w:i w:val="0"/>
                <w:iCs w:val="0"/>
                <w:color w:val="333333"/>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3679" w:type="dxa"/>
            <w:gridSpan w:val="3"/>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四、结转下年度继续办理</w:t>
            </w:r>
          </w:p>
        </w:tc>
        <w:tc>
          <w:tcPr>
            <w:tcW w:w="76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3"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916"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92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87"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bl>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CESI黑体-GB2312" w:hAnsi="CESI黑体-GB2312" w:eastAsia="CESI黑体-GB2312" w:cs="CESI黑体-GB2312"/>
          <w:i w:val="0"/>
          <w:iCs w:val="0"/>
          <w:caps w:val="0"/>
          <w:color w:val="000000"/>
          <w:spacing w:val="0"/>
          <w:kern w:val="0"/>
          <w:sz w:val="32"/>
          <w:szCs w:val="32"/>
          <w:shd w:val="clear" w:fill="FFFFFF"/>
          <w:lang w:val="en-US" w:eastAsia="zh-CN" w:bidi="ar"/>
        </w:rPr>
      </w:pPr>
      <w:r>
        <w:rPr>
          <w:rFonts w:hint="eastAsia" w:ascii="CESI黑体-GB2312" w:hAnsi="CESI黑体-GB2312" w:eastAsia="CESI黑体-GB2312" w:cs="CESI黑体-GB2312"/>
          <w:i w:val="0"/>
          <w:iCs w:val="0"/>
          <w:caps w:val="0"/>
          <w:color w:val="000000"/>
          <w:spacing w:val="0"/>
          <w:kern w:val="0"/>
          <w:sz w:val="32"/>
          <w:szCs w:val="32"/>
          <w:shd w:val="clear" w:fill="FFFFFF"/>
          <w:lang w:val="en-US" w:eastAsia="zh-CN" w:bidi="ar"/>
        </w:rPr>
        <w:t>四、政府信息公开行政复议、行政诉讼情况</w:t>
      </w:r>
    </w:p>
    <w:tbl>
      <w:tblPr>
        <w:tblStyle w:val="4"/>
        <w:tblW w:w="8599" w:type="dxa"/>
        <w:tblCellSpacing w:w="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573"/>
        <w:gridCol w:w="573"/>
        <w:gridCol w:w="573"/>
        <w:gridCol w:w="573"/>
        <w:gridCol w:w="574"/>
        <w:gridCol w:w="573"/>
        <w:gridCol w:w="573"/>
        <w:gridCol w:w="573"/>
        <w:gridCol w:w="573"/>
        <w:gridCol w:w="574"/>
        <w:gridCol w:w="573"/>
        <w:gridCol w:w="573"/>
        <w:gridCol w:w="573"/>
        <w:gridCol w:w="573"/>
        <w:gridCol w:w="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0" w:hRule="atLeast"/>
          <w:tblCellSpacing w:w="0" w:type="dxa"/>
        </w:trPr>
        <w:tc>
          <w:tcPr>
            <w:tcW w:w="2866" w:type="dxa"/>
            <w:gridSpan w:val="5"/>
            <w:tcBorders>
              <w:tl2br w:val="nil"/>
              <w:tr2bl w:val="nil"/>
            </w:tcBorders>
            <w:shd w:val="clear" w:color="auto" w:fill="auto"/>
            <w:tcMar>
              <w:top w:w="0" w:type="dxa"/>
              <w:left w:w="72" w:type="dxa"/>
              <w:bottom w:w="0" w:type="dxa"/>
              <w:right w:w="72" w:type="dxa"/>
            </w:tcMar>
            <w:vAlign w:val="center"/>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行政复议</w:t>
            </w:r>
          </w:p>
        </w:tc>
        <w:tc>
          <w:tcPr>
            <w:tcW w:w="5733" w:type="dxa"/>
            <w:gridSpan w:val="10"/>
            <w:tcBorders>
              <w:tl2br w:val="nil"/>
              <w:tr2bl w:val="nil"/>
            </w:tcBorders>
            <w:shd w:val="clear" w:color="auto" w:fill="auto"/>
            <w:tcMar>
              <w:top w:w="0" w:type="dxa"/>
              <w:left w:w="72" w:type="dxa"/>
              <w:bottom w:w="0" w:type="dxa"/>
              <w:right w:w="72" w:type="dxa"/>
            </w:tcMar>
            <w:vAlign w:val="center"/>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22" w:hRule="atLeast"/>
          <w:tblCellSpacing w:w="0" w:type="dxa"/>
        </w:trPr>
        <w:tc>
          <w:tcPr>
            <w:tcW w:w="573" w:type="dxa"/>
            <w:vMerge w:val="restart"/>
            <w:tcBorders>
              <w:tl2br w:val="nil"/>
              <w:tr2bl w:val="nil"/>
            </w:tcBorders>
            <w:shd w:val="clear" w:color="auto" w:fill="auto"/>
            <w:tcMar>
              <w:top w:w="0" w:type="dxa"/>
              <w:left w:w="72" w:type="dxa"/>
              <w:bottom w:w="0" w:type="dxa"/>
              <w:right w:w="72" w:type="dxa"/>
            </w:tcMar>
            <w:vAlign w:val="center"/>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结果维持</w:t>
            </w:r>
          </w:p>
        </w:tc>
        <w:tc>
          <w:tcPr>
            <w:tcW w:w="573" w:type="dxa"/>
            <w:vMerge w:val="restart"/>
            <w:tcBorders>
              <w:tl2br w:val="nil"/>
              <w:tr2bl w:val="nil"/>
            </w:tcBorders>
            <w:shd w:val="clear" w:color="auto" w:fill="auto"/>
            <w:tcMar>
              <w:top w:w="0" w:type="dxa"/>
              <w:left w:w="72" w:type="dxa"/>
              <w:bottom w:w="0" w:type="dxa"/>
              <w:right w:w="72" w:type="dxa"/>
            </w:tcMar>
            <w:vAlign w:val="center"/>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结果纠正</w:t>
            </w:r>
          </w:p>
        </w:tc>
        <w:tc>
          <w:tcPr>
            <w:tcW w:w="573" w:type="dxa"/>
            <w:vMerge w:val="restart"/>
            <w:tcBorders>
              <w:tl2br w:val="nil"/>
              <w:tr2bl w:val="nil"/>
            </w:tcBorders>
            <w:shd w:val="clear" w:color="auto" w:fill="auto"/>
            <w:tcMar>
              <w:top w:w="0" w:type="dxa"/>
              <w:left w:w="72" w:type="dxa"/>
              <w:bottom w:w="0" w:type="dxa"/>
              <w:right w:w="72" w:type="dxa"/>
            </w:tcMar>
            <w:vAlign w:val="center"/>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其他结果</w:t>
            </w:r>
          </w:p>
        </w:tc>
        <w:tc>
          <w:tcPr>
            <w:tcW w:w="573" w:type="dxa"/>
            <w:vMerge w:val="restart"/>
            <w:tcBorders>
              <w:tl2br w:val="nil"/>
              <w:tr2bl w:val="nil"/>
            </w:tcBorders>
            <w:shd w:val="clear" w:color="auto" w:fill="auto"/>
            <w:tcMar>
              <w:top w:w="0" w:type="dxa"/>
              <w:left w:w="72" w:type="dxa"/>
              <w:bottom w:w="0" w:type="dxa"/>
              <w:right w:w="72" w:type="dxa"/>
            </w:tcMar>
            <w:vAlign w:val="center"/>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尚未审结</w:t>
            </w:r>
          </w:p>
        </w:tc>
        <w:tc>
          <w:tcPr>
            <w:tcW w:w="574" w:type="dxa"/>
            <w:vMerge w:val="restart"/>
            <w:tcBorders>
              <w:tl2br w:val="nil"/>
              <w:tr2bl w:val="nil"/>
            </w:tcBorders>
            <w:shd w:val="clear" w:color="auto" w:fill="auto"/>
            <w:tcMar>
              <w:top w:w="0" w:type="dxa"/>
              <w:left w:w="72" w:type="dxa"/>
              <w:bottom w:w="0" w:type="dxa"/>
              <w:right w:w="72" w:type="dxa"/>
            </w:tcMar>
            <w:vAlign w:val="center"/>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总计</w:t>
            </w:r>
          </w:p>
        </w:tc>
        <w:tc>
          <w:tcPr>
            <w:tcW w:w="2866" w:type="dxa"/>
            <w:gridSpan w:val="5"/>
            <w:tcBorders>
              <w:tl2br w:val="nil"/>
              <w:tr2bl w:val="nil"/>
            </w:tcBorders>
            <w:shd w:val="clear" w:color="auto" w:fill="auto"/>
            <w:tcMar>
              <w:top w:w="0" w:type="dxa"/>
              <w:left w:w="72" w:type="dxa"/>
              <w:bottom w:w="0" w:type="dxa"/>
              <w:right w:w="72" w:type="dxa"/>
            </w:tcMar>
            <w:vAlign w:val="center"/>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未经复议直接起诉</w:t>
            </w:r>
          </w:p>
        </w:tc>
        <w:tc>
          <w:tcPr>
            <w:tcW w:w="2867" w:type="dxa"/>
            <w:gridSpan w:val="5"/>
            <w:tcBorders>
              <w:tl2br w:val="nil"/>
              <w:tr2bl w:val="nil"/>
            </w:tcBorders>
            <w:shd w:val="clear" w:color="auto" w:fill="auto"/>
            <w:tcMar>
              <w:top w:w="0" w:type="dxa"/>
              <w:left w:w="72" w:type="dxa"/>
              <w:bottom w:w="0" w:type="dxa"/>
              <w:right w:w="72" w:type="dxa"/>
            </w:tcMar>
            <w:vAlign w:val="center"/>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85" w:hRule="atLeast"/>
          <w:tblCellSpacing w:w="0" w:type="dxa"/>
        </w:trPr>
        <w:tc>
          <w:tcPr>
            <w:tcW w:w="573" w:type="dxa"/>
            <w:vMerge w:val="continue"/>
            <w:tcBorders>
              <w:tl2br w:val="nil"/>
              <w:tr2bl w:val="nil"/>
            </w:tcBorders>
            <w:shd w:val="clear" w:color="auto" w:fill="auto"/>
            <w:tcMar>
              <w:top w:w="0" w:type="dxa"/>
              <w:left w:w="72" w:type="dxa"/>
              <w:bottom w:w="0" w:type="dxa"/>
              <w:right w:w="72" w:type="dxa"/>
            </w:tcMar>
            <w:vAlign w:val="center"/>
          </w:tcPr>
          <w:p>
            <w:pPr>
              <w:bidi w:val="0"/>
              <w:rPr>
                <w:rFonts w:hint="eastAsia" w:ascii="仿宋_GB2312" w:hAnsi="仿宋_GB2312" w:eastAsia="仿宋_GB2312" w:cs="仿宋_GB2312"/>
                <w:sz w:val="32"/>
                <w:szCs w:val="32"/>
              </w:rPr>
            </w:pPr>
          </w:p>
        </w:tc>
        <w:tc>
          <w:tcPr>
            <w:tcW w:w="573" w:type="dxa"/>
            <w:vMerge w:val="continue"/>
            <w:tcBorders>
              <w:tl2br w:val="nil"/>
              <w:tr2bl w:val="nil"/>
            </w:tcBorders>
            <w:shd w:val="clear" w:color="auto" w:fill="auto"/>
            <w:tcMar>
              <w:top w:w="0" w:type="dxa"/>
              <w:left w:w="72" w:type="dxa"/>
              <w:bottom w:w="0" w:type="dxa"/>
              <w:right w:w="72" w:type="dxa"/>
            </w:tcMar>
            <w:vAlign w:val="center"/>
          </w:tcPr>
          <w:p>
            <w:pPr>
              <w:bidi w:val="0"/>
              <w:rPr>
                <w:rFonts w:hint="eastAsia" w:ascii="仿宋_GB2312" w:hAnsi="仿宋_GB2312" w:eastAsia="仿宋_GB2312" w:cs="仿宋_GB2312"/>
                <w:sz w:val="32"/>
                <w:szCs w:val="32"/>
              </w:rPr>
            </w:pPr>
          </w:p>
        </w:tc>
        <w:tc>
          <w:tcPr>
            <w:tcW w:w="573" w:type="dxa"/>
            <w:vMerge w:val="continue"/>
            <w:tcBorders>
              <w:tl2br w:val="nil"/>
              <w:tr2bl w:val="nil"/>
            </w:tcBorders>
            <w:shd w:val="clear" w:color="auto" w:fill="auto"/>
            <w:tcMar>
              <w:top w:w="0" w:type="dxa"/>
              <w:left w:w="72" w:type="dxa"/>
              <w:bottom w:w="0" w:type="dxa"/>
              <w:right w:w="72" w:type="dxa"/>
            </w:tcMar>
            <w:vAlign w:val="center"/>
          </w:tcPr>
          <w:p>
            <w:pPr>
              <w:bidi w:val="0"/>
              <w:rPr>
                <w:rFonts w:hint="eastAsia" w:ascii="仿宋_GB2312" w:hAnsi="仿宋_GB2312" w:eastAsia="仿宋_GB2312" w:cs="仿宋_GB2312"/>
                <w:sz w:val="32"/>
                <w:szCs w:val="32"/>
              </w:rPr>
            </w:pPr>
          </w:p>
        </w:tc>
        <w:tc>
          <w:tcPr>
            <w:tcW w:w="573" w:type="dxa"/>
            <w:vMerge w:val="continue"/>
            <w:tcBorders>
              <w:tl2br w:val="nil"/>
              <w:tr2bl w:val="nil"/>
            </w:tcBorders>
            <w:shd w:val="clear" w:color="auto" w:fill="auto"/>
            <w:tcMar>
              <w:top w:w="0" w:type="dxa"/>
              <w:left w:w="72" w:type="dxa"/>
              <w:bottom w:w="0" w:type="dxa"/>
              <w:right w:w="72" w:type="dxa"/>
            </w:tcMar>
            <w:vAlign w:val="center"/>
          </w:tcPr>
          <w:p>
            <w:pPr>
              <w:bidi w:val="0"/>
              <w:rPr>
                <w:rFonts w:hint="eastAsia" w:ascii="仿宋_GB2312" w:hAnsi="仿宋_GB2312" w:eastAsia="仿宋_GB2312" w:cs="仿宋_GB2312"/>
                <w:sz w:val="32"/>
                <w:szCs w:val="32"/>
              </w:rPr>
            </w:pPr>
          </w:p>
        </w:tc>
        <w:tc>
          <w:tcPr>
            <w:tcW w:w="574" w:type="dxa"/>
            <w:vMerge w:val="continue"/>
            <w:tcBorders>
              <w:tl2br w:val="nil"/>
              <w:tr2bl w:val="nil"/>
            </w:tcBorders>
            <w:shd w:val="clear" w:color="auto" w:fill="auto"/>
            <w:tcMar>
              <w:top w:w="0" w:type="dxa"/>
              <w:left w:w="72" w:type="dxa"/>
              <w:bottom w:w="0" w:type="dxa"/>
              <w:right w:w="72" w:type="dxa"/>
            </w:tcMar>
            <w:vAlign w:val="center"/>
          </w:tcPr>
          <w:p>
            <w:pPr>
              <w:bidi w:val="0"/>
              <w:rPr>
                <w:rFonts w:hint="eastAsia" w:ascii="仿宋_GB2312" w:hAnsi="仿宋_GB2312" w:eastAsia="仿宋_GB2312" w:cs="仿宋_GB2312"/>
                <w:sz w:val="32"/>
                <w:szCs w:val="32"/>
              </w:rPr>
            </w:pPr>
          </w:p>
        </w:tc>
        <w:tc>
          <w:tcPr>
            <w:tcW w:w="573" w:type="dxa"/>
            <w:tcBorders>
              <w:tl2br w:val="nil"/>
              <w:tr2bl w:val="nil"/>
            </w:tcBorders>
            <w:shd w:val="clear" w:color="auto" w:fill="auto"/>
            <w:tcMar>
              <w:top w:w="0" w:type="dxa"/>
              <w:left w:w="72" w:type="dxa"/>
              <w:bottom w:w="0" w:type="dxa"/>
              <w:right w:w="72" w:type="dxa"/>
            </w:tcMar>
            <w:vAlign w:val="center"/>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结果维持</w:t>
            </w:r>
          </w:p>
        </w:tc>
        <w:tc>
          <w:tcPr>
            <w:tcW w:w="573" w:type="dxa"/>
            <w:tcBorders>
              <w:tl2br w:val="nil"/>
              <w:tr2bl w:val="nil"/>
            </w:tcBorders>
            <w:shd w:val="clear" w:color="auto" w:fill="auto"/>
            <w:tcMar>
              <w:top w:w="0" w:type="dxa"/>
              <w:left w:w="72" w:type="dxa"/>
              <w:bottom w:w="0" w:type="dxa"/>
              <w:right w:w="72" w:type="dxa"/>
            </w:tcMar>
            <w:vAlign w:val="center"/>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结果纠正</w:t>
            </w:r>
          </w:p>
        </w:tc>
        <w:tc>
          <w:tcPr>
            <w:tcW w:w="573" w:type="dxa"/>
            <w:tcBorders>
              <w:tl2br w:val="nil"/>
              <w:tr2bl w:val="nil"/>
            </w:tcBorders>
            <w:shd w:val="clear" w:color="auto" w:fill="auto"/>
            <w:tcMar>
              <w:top w:w="0" w:type="dxa"/>
              <w:left w:w="72" w:type="dxa"/>
              <w:bottom w:w="0" w:type="dxa"/>
              <w:right w:w="72" w:type="dxa"/>
            </w:tcMar>
            <w:vAlign w:val="center"/>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其他结果</w:t>
            </w:r>
          </w:p>
        </w:tc>
        <w:tc>
          <w:tcPr>
            <w:tcW w:w="573" w:type="dxa"/>
            <w:tcBorders>
              <w:tl2br w:val="nil"/>
              <w:tr2bl w:val="nil"/>
            </w:tcBorders>
            <w:shd w:val="clear" w:color="auto" w:fill="auto"/>
            <w:tcMar>
              <w:top w:w="0" w:type="dxa"/>
              <w:left w:w="72" w:type="dxa"/>
              <w:bottom w:w="0" w:type="dxa"/>
              <w:right w:w="72" w:type="dxa"/>
            </w:tcMar>
            <w:vAlign w:val="center"/>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尚未审结</w:t>
            </w:r>
          </w:p>
        </w:tc>
        <w:tc>
          <w:tcPr>
            <w:tcW w:w="574" w:type="dxa"/>
            <w:tcBorders>
              <w:tl2br w:val="nil"/>
              <w:tr2bl w:val="nil"/>
            </w:tcBorders>
            <w:shd w:val="clear" w:color="auto" w:fill="auto"/>
            <w:tcMar>
              <w:top w:w="0" w:type="dxa"/>
              <w:left w:w="72" w:type="dxa"/>
              <w:bottom w:w="0" w:type="dxa"/>
              <w:right w:w="72" w:type="dxa"/>
            </w:tcMar>
            <w:vAlign w:val="center"/>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总计</w:t>
            </w:r>
          </w:p>
        </w:tc>
        <w:tc>
          <w:tcPr>
            <w:tcW w:w="573" w:type="dxa"/>
            <w:tcBorders>
              <w:tl2br w:val="nil"/>
              <w:tr2bl w:val="nil"/>
            </w:tcBorders>
            <w:shd w:val="clear" w:color="auto" w:fill="auto"/>
            <w:tcMar>
              <w:top w:w="0" w:type="dxa"/>
              <w:left w:w="72" w:type="dxa"/>
              <w:bottom w:w="0" w:type="dxa"/>
              <w:right w:w="72" w:type="dxa"/>
            </w:tcMar>
            <w:vAlign w:val="center"/>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结果维持</w:t>
            </w:r>
          </w:p>
        </w:tc>
        <w:tc>
          <w:tcPr>
            <w:tcW w:w="573" w:type="dxa"/>
            <w:tcBorders>
              <w:tl2br w:val="nil"/>
              <w:tr2bl w:val="nil"/>
            </w:tcBorders>
            <w:shd w:val="clear" w:color="auto" w:fill="auto"/>
            <w:tcMar>
              <w:top w:w="0" w:type="dxa"/>
              <w:left w:w="72" w:type="dxa"/>
              <w:bottom w:w="0" w:type="dxa"/>
              <w:right w:w="72" w:type="dxa"/>
            </w:tcMar>
            <w:vAlign w:val="center"/>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结果纠正</w:t>
            </w:r>
          </w:p>
        </w:tc>
        <w:tc>
          <w:tcPr>
            <w:tcW w:w="573" w:type="dxa"/>
            <w:tcBorders>
              <w:tl2br w:val="nil"/>
              <w:tr2bl w:val="nil"/>
            </w:tcBorders>
            <w:shd w:val="clear" w:color="auto" w:fill="auto"/>
            <w:tcMar>
              <w:top w:w="0" w:type="dxa"/>
              <w:left w:w="72" w:type="dxa"/>
              <w:bottom w:w="0" w:type="dxa"/>
              <w:right w:w="72" w:type="dxa"/>
            </w:tcMar>
            <w:vAlign w:val="center"/>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其他结果</w:t>
            </w:r>
          </w:p>
        </w:tc>
        <w:tc>
          <w:tcPr>
            <w:tcW w:w="573" w:type="dxa"/>
            <w:tcBorders>
              <w:tl2br w:val="nil"/>
              <w:tr2bl w:val="nil"/>
            </w:tcBorders>
            <w:shd w:val="clear" w:color="auto" w:fill="auto"/>
            <w:tcMar>
              <w:top w:w="0" w:type="dxa"/>
              <w:left w:w="72" w:type="dxa"/>
              <w:bottom w:w="0" w:type="dxa"/>
              <w:right w:w="72" w:type="dxa"/>
            </w:tcMar>
            <w:vAlign w:val="center"/>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尚未审结</w:t>
            </w:r>
          </w:p>
        </w:tc>
        <w:tc>
          <w:tcPr>
            <w:tcW w:w="575" w:type="dxa"/>
            <w:tcBorders>
              <w:tl2br w:val="nil"/>
              <w:tr2bl w:val="nil"/>
            </w:tcBorders>
            <w:shd w:val="clear" w:color="auto" w:fill="auto"/>
            <w:tcMar>
              <w:top w:w="0" w:type="dxa"/>
              <w:left w:w="72" w:type="dxa"/>
              <w:bottom w:w="0" w:type="dxa"/>
              <w:right w:w="72" w:type="dxa"/>
            </w:tcMar>
            <w:vAlign w:val="center"/>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0" w:hRule="atLeast"/>
          <w:tblCellSpacing w:w="0" w:type="dxa"/>
        </w:trPr>
        <w:tc>
          <w:tcPr>
            <w:tcW w:w="573" w:type="dxa"/>
            <w:tcBorders>
              <w:tl2br w:val="nil"/>
              <w:tr2bl w:val="nil"/>
            </w:tcBorders>
            <w:shd w:val="clear" w:color="auto" w:fill="auto"/>
            <w:tcMar>
              <w:top w:w="0" w:type="dxa"/>
              <w:left w:w="72" w:type="dxa"/>
              <w:bottom w:w="0" w:type="dxa"/>
              <w:right w:w="72" w:type="dxa"/>
            </w:tcMar>
            <w:vAlign w:val="center"/>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73" w:type="dxa"/>
            <w:tcBorders>
              <w:tl2br w:val="nil"/>
              <w:tr2bl w:val="nil"/>
            </w:tcBorders>
            <w:shd w:val="clear" w:color="auto" w:fill="auto"/>
            <w:tcMar>
              <w:top w:w="0" w:type="dxa"/>
              <w:left w:w="72" w:type="dxa"/>
              <w:bottom w:w="0" w:type="dxa"/>
              <w:right w:w="72" w:type="dxa"/>
            </w:tcMar>
            <w:vAlign w:val="center"/>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73" w:type="dxa"/>
            <w:tcBorders>
              <w:tl2br w:val="nil"/>
              <w:tr2bl w:val="nil"/>
            </w:tcBorders>
            <w:shd w:val="clear" w:color="auto" w:fill="auto"/>
            <w:tcMar>
              <w:top w:w="0" w:type="dxa"/>
              <w:left w:w="72" w:type="dxa"/>
              <w:bottom w:w="0" w:type="dxa"/>
              <w:right w:w="72" w:type="dxa"/>
            </w:tcMar>
            <w:vAlign w:val="center"/>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73" w:type="dxa"/>
            <w:tcBorders>
              <w:tl2br w:val="nil"/>
              <w:tr2bl w:val="nil"/>
            </w:tcBorders>
            <w:shd w:val="clear" w:color="auto" w:fill="auto"/>
            <w:tcMar>
              <w:top w:w="0" w:type="dxa"/>
              <w:left w:w="72" w:type="dxa"/>
              <w:bottom w:w="0" w:type="dxa"/>
              <w:right w:w="72" w:type="dxa"/>
            </w:tcMar>
            <w:vAlign w:val="center"/>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74" w:type="dxa"/>
            <w:tcBorders>
              <w:tl2br w:val="nil"/>
              <w:tr2bl w:val="nil"/>
            </w:tcBorders>
            <w:shd w:val="clear" w:color="auto" w:fill="auto"/>
            <w:tcMar>
              <w:top w:w="0" w:type="dxa"/>
              <w:left w:w="72" w:type="dxa"/>
              <w:bottom w:w="0" w:type="dxa"/>
              <w:right w:w="72" w:type="dxa"/>
            </w:tcMar>
            <w:vAlign w:val="center"/>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73" w:type="dxa"/>
            <w:tcBorders>
              <w:tl2br w:val="nil"/>
              <w:tr2bl w:val="nil"/>
            </w:tcBorders>
            <w:shd w:val="clear" w:color="auto" w:fill="auto"/>
            <w:tcMar>
              <w:top w:w="0" w:type="dxa"/>
              <w:left w:w="72" w:type="dxa"/>
              <w:bottom w:w="0" w:type="dxa"/>
              <w:right w:w="72" w:type="dxa"/>
            </w:tcMar>
            <w:vAlign w:val="center"/>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73" w:type="dxa"/>
            <w:tcBorders>
              <w:tl2br w:val="nil"/>
              <w:tr2bl w:val="nil"/>
            </w:tcBorders>
            <w:shd w:val="clear" w:color="auto" w:fill="auto"/>
            <w:tcMar>
              <w:top w:w="0" w:type="dxa"/>
              <w:left w:w="72" w:type="dxa"/>
              <w:bottom w:w="0" w:type="dxa"/>
              <w:right w:w="72" w:type="dxa"/>
            </w:tcMar>
            <w:vAlign w:val="center"/>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73" w:type="dxa"/>
            <w:tcBorders>
              <w:tl2br w:val="nil"/>
              <w:tr2bl w:val="nil"/>
            </w:tcBorders>
            <w:shd w:val="clear" w:color="auto" w:fill="auto"/>
            <w:tcMar>
              <w:top w:w="0" w:type="dxa"/>
              <w:left w:w="72" w:type="dxa"/>
              <w:bottom w:w="0" w:type="dxa"/>
              <w:right w:w="72" w:type="dxa"/>
            </w:tcMar>
            <w:vAlign w:val="center"/>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73" w:type="dxa"/>
            <w:tcBorders>
              <w:tl2br w:val="nil"/>
              <w:tr2bl w:val="nil"/>
            </w:tcBorders>
            <w:shd w:val="clear" w:color="auto" w:fill="auto"/>
            <w:tcMar>
              <w:top w:w="0" w:type="dxa"/>
              <w:left w:w="72" w:type="dxa"/>
              <w:bottom w:w="0" w:type="dxa"/>
              <w:right w:w="72" w:type="dxa"/>
            </w:tcMar>
            <w:vAlign w:val="center"/>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74" w:type="dxa"/>
            <w:tcBorders>
              <w:tl2br w:val="nil"/>
              <w:tr2bl w:val="nil"/>
            </w:tcBorders>
            <w:shd w:val="clear" w:color="auto" w:fill="auto"/>
            <w:tcMar>
              <w:top w:w="0" w:type="dxa"/>
              <w:left w:w="72" w:type="dxa"/>
              <w:bottom w:w="0" w:type="dxa"/>
              <w:right w:w="72" w:type="dxa"/>
            </w:tcMar>
            <w:vAlign w:val="center"/>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73" w:type="dxa"/>
            <w:tcBorders>
              <w:tl2br w:val="nil"/>
              <w:tr2bl w:val="nil"/>
            </w:tcBorders>
            <w:shd w:val="clear" w:color="auto" w:fill="auto"/>
            <w:tcMar>
              <w:top w:w="0" w:type="dxa"/>
              <w:left w:w="72" w:type="dxa"/>
              <w:bottom w:w="0" w:type="dxa"/>
              <w:right w:w="72" w:type="dxa"/>
            </w:tcMar>
            <w:vAlign w:val="center"/>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73" w:type="dxa"/>
            <w:tcBorders>
              <w:tl2br w:val="nil"/>
              <w:tr2bl w:val="nil"/>
            </w:tcBorders>
            <w:shd w:val="clear" w:color="auto" w:fill="auto"/>
            <w:tcMar>
              <w:top w:w="0" w:type="dxa"/>
              <w:left w:w="72" w:type="dxa"/>
              <w:bottom w:w="0" w:type="dxa"/>
              <w:right w:w="72" w:type="dxa"/>
            </w:tcMar>
            <w:vAlign w:val="center"/>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73" w:type="dxa"/>
            <w:tcBorders>
              <w:tl2br w:val="nil"/>
              <w:tr2bl w:val="nil"/>
            </w:tcBorders>
            <w:shd w:val="clear" w:color="auto" w:fill="auto"/>
            <w:tcMar>
              <w:top w:w="0" w:type="dxa"/>
              <w:left w:w="72" w:type="dxa"/>
              <w:bottom w:w="0" w:type="dxa"/>
              <w:right w:w="72" w:type="dxa"/>
            </w:tcMar>
            <w:vAlign w:val="center"/>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73" w:type="dxa"/>
            <w:tcBorders>
              <w:tl2br w:val="nil"/>
              <w:tr2bl w:val="nil"/>
            </w:tcBorders>
            <w:shd w:val="clear" w:color="auto" w:fill="auto"/>
            <w:tcMar>
              <w:top w:w="0" w:type="dxa"/>
              <w:left w:w="72" w:type="dxa"/>
              <w:bottom w:w="0" w:type="dxa"/>
              <w:right w:w="72" w:type="dxa"/>
            </w:tcMar>
            <w:vAlign w:val="center"/>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75" w:type="dxa"/>
            <w:tcBorders>
              <w:tl2br w:val="nil"/>
              <w:tr2bl w:val="nil"/>
            </w:tcBorders>
            <w:shd w:val="clear" w:color="auto" w:fill="auto"/>
            <w:tcMar>
              <w:top w:w="0" w:type="dxa"/>
              <w:left w:w="72" w:type="dxa"/>
              <w:bottom w:w="0" w:type="dxa"/>
              <w:right w:w="72" w:type="dxa"/>
            </w:tcMar>
            <w:vAlign w:val="center"/>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bl>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CESI黑体-GB2312" w:hAnsi="CESI黑体-GB2312" w:eastAsia="CESI黑体-GB2312" w:cs="CESI黑体-GB2312"/>
          <w:i w:val="0"/>
          <w:iCs w:val="0"/>
          <w:caps w:val="0"/>
          <w:color w:val="000000"/>
          <w:spacing w:val="0"/>
          <w:kern w:val="0"/>
          <w:sz w:val="32"/>
          <w:szCs w:val="32"/>
          <w:shd w:val="clear" w:fill="FFFFFF"/>
          <w:lang w:val="en-US" w:eastAsia="zh-CN" w:bidi="ar"/>
        </w:rPr>
      </w:pPr>
      <w:r>
        <w:rPr>
          <w:rFonts w:hint="eastAsia" w:ascii="CESI黑体-GB2312" w:hAnsi="CESI黑体-GB2312" w:eastAsia="CESI黑体-GB2312" w:cs="CESI黑体-GB2312"/>
          <w:i w:val="0"/>
          <w:iCs w:val="0"/>
          <w:caps w:val="0"/>
          <w:color w:val="000000"/>
          <w:spacing w:val="0"/>
          <w:kern w:val="0"/>
          <w:sz w:val="32"/>
          <w:szCs w:val="32"/>
          <w:shd w:val="clear" w:fill="FFFFFF"/>
          <w:lang w:val="en-US" w:eastAsia="zh-CN" w:bidi="ar"/>
        </w:rPr>
        <w:t>五、存在的主要问题及改进情况</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cs="仿宋_GB2312"/>
          <w:i w:val="0"/>
          <w:iCs w:val="0"/>
          <w:caps w:val="0"/>
          <w:color w:val="000000"/>
          <w:spacing w:val="0"/>
          <w:kern w:val="0"/>
          <w:sz w:val="32"/>
          <w:szCs w:val="32"/>
          <w:shd w:val="clear" w:fill="FFFFFF"/>
          <w:lang w:val="en-US" w:eastAsia="zh-CN" w:bidi="ar"/>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2022年，我局政府信息公开工作从总体上看，运行状况良好，但也有一些不足，主要是政府信息公开面对社会的宣传力度还不够部分工程信息未及时公开，政府信息公开工作机制还需进一步完善。</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cs="仿宋_GB2312"/>
          <w:i w:val="0"/>
          <w:iCs w:val="0"/>
          <w:caps w:val="0"/>
          <w:color w:val="000000"/>
          <w:spacing w:val="0"/>
          <w:kern w:val="0"/>
          <w:sz w:val="32"/>
          <w:szCs w:val="32"/>
          <w:shd w:val="clear" w:fill="FFFFFF"/>
          <w:lang w:val="en-US" w:eastAsia="zh-CN" w:bidi="ar"/>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2023年，我局将加大工作力度，把水利高质量发展改革工作与政务公开工作紧密相结合，力促政务公开工作再上新台阶。一是通过开展政务公开，牢牢把握人民群众普遍关心和关系人民群众切身利益的问题，推进水利中心工作的开展。二是通过开展政务公开，进一步增强行业管理透明度，规范工作人员的行政行为。三是通过开展政务公开，促进党风廉政建设和文明行业创建工作，提高水利干部职工队伍素质。四是通过加强考核与监督，进一步巩固政务公开成果，确保政务公开制度得到行之有效的贯彻落实。</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ascii="楷体_GB2312" w:hAnsi="Microsoft YaHei" w:eastAsia="楷体_GB2312" w:cs="楷体_GB2312"/>
          <w:b w:val="0"/>
          <w:bCs w:val="0"/>
          <w:i w:val="0"/>
          <w:iCs w:val="0"/>
          <w:caps w:val="0"/>
          <w:color w:val="000000"/>
          <w:spacing w:val="0"/>
          <w:kern w:val="0"/>
          <w:sz w:val="32"/>
          <w:szCs w:val="32"/>
          <w:shd w:val="clear" w:fill="FFFFFF"/>
          <w:lang w:val="en-US" w:eastAsia="zh-CN" w:bidi="ar"/>
        </w:rPr>
      </w:pPr>
      <w:r>
        <w:rPr>
          <w:rFonts w:hint="eastAsia" w:ascii="CESI黑体-GB2312" w:hAnsi="CESI黑体-GB2312" w:eastAsia="CESI黑体-GB2312" w:cs="CESI黑体-GB2312"/>
          <w:i w:val="0"/>
          <w:iCs w:val="0"/>
          <w:caps w:val="0"/>
          <w:color w:val="000000"/>
          <w:spacing w:val="0"/>
          <w:kern w:val="0"/>
          <w:sz w:val="32"/>
          <w:szCs w:val="32"/>
          <w:shd w:val="clear" w:fill="FFFFFF"/>
          <w:lang w:val="en-US" w:eastAsia="zh-CN" w:bidi="ar"/>
        </w:rPr>
        <w:t>六、其他需要报告的事项</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方正小标宋简体" w:hAnsi="方正小标宋简体" w:eastAsia="方正小标宋简体" w:cs="方正小标宋简体"/>
          <w:sz w:val="36"/>
          <w:szCs w:val="36"/>
          <w:lang w:val="en-US" w:eastAsia="zh-CN"/>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按照《国务院办公厅关于印发〈政府信息公开信息处理费管理办法〉的通知》（国办函〔2020〕109号）规定的按件、按量收费标准，本年度未产生信息公开处理费。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楷体_GB2312">
    <w:panose1 w:val="02010609030101010101"/>
    <w:charset w:val="86"/>
    <w:family w:val="auto"/>
    <w:pitch w:val="default"/>
    <w:sig w:usb0="00000001" w:usb1="080E0000" w:usb2="00000000" w:usb3="00000000" w:csb0="00040000" w:csb1="00000000"/>
  </w:font>
  <w:font w:name="Microsoft YaHei">
    <w:panose1 w:val="020B0503020204020204"/>
    <w:charset w:val="86"/>
    <w:family w:val="auto"/>
    <w:pitch w:val="default"/>
    <w:sig w:usb0="80000287" w:usb1="2A0F3C52" w:usb2="00000016" w:usb3="00000000" w:csb0="0004001F" w:csb1="00000000"/>
  </w:font>
  <w:font w:name="微软雅黑">
    <w:panose1 w:val="020B0503020204020204"/>
    <w:charset w:val="86"/>
    <w:family w:val="auto"/>
    <w:pitch w:val="default"/>
    <w:sig w:usb0="80000287" w:usb1="2A0F3C52" w:usb2="00000016" w:usb3="00000000" w:csb0="0004001F" w:csb1="00000000"/>
  </w:font>
  <w:font w:name="楷体">
    <w:altName w:val="方正楷体_GBK"/>
    <w:panose1 w:val="02010609060101010101"/>
    <w:charset w:val="86"/>
    <w:family w:val="auto"/>
    <w:pitch w:val="default"/>
    <w:sig w:usb0="00000000" w:usb1="00000000" w:usb2="00000016" w:usb3="00000000" w:csb0="00040001" w:csb1="00000000"/>
  </w:font>
  <w:font w:name="仿宋">
    <w:altName w:val="微软雅黑"/>
    <w:panose1 w:val="02010609060101010101"/>
    <w:charset w:val="86"/>
    <w:family w:val="auto"/>
    <w:pitch w:val="default"/>
    <w:sig w:usb0="00000000" w:usb1="00000000"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F04BF1"/>
    <w:rsid w:val="2EFF26EC"/>
    <w:rsid w:val="3DBF1ADB"/>
    <w:rsid w:val="3DF04BF1"/>
    <w:rsid w:val="3FFD55A4"/>
    <w:rsid w:val="577700BD"/>
    <w:rsid w:val="65DC78F8"/>
    <w:rsid w:val="67BF4FD6"/>
    <w:rsid w:val="697DE4B2"/>
    <w:rsid w:val="73BDD459"/>
    <w:rsid w:val="777DE075"/>
    <w:rsid w:val="7DED8EB4"/>
    <w:rsid w:val="7FBD0853"/>
    <w:rsid w:val="9BFFEB30"/>
    <w:rsid w:val="D1BFCAF2"/>
    <w:rsid w:val="D7FA8F8C"/>
    <w:rsid w:val="F9CB15B6"/>
    <w:rsid w:val="FFAB691A"/>
    <w:rsid w:val="FFECD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219</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2023-01-06T07:18:00Z</dcterms:created>
  <dc:creator>user</dc:creator>
  <cp:lastModifiedBy>user</cp:lastModifiedBy>
  <dcterms:modified xsi:type="dcterms:W3CDTF">2023-01-09T10:10:29Z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